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D3B7B" w14:textId="77777777" w:rsidR="009216A4" w:rsidRDefault="009216A4" w:rsidP="009216A4">
      <w:pPr>
        <w:spacing w:after="176" w:line="259" w:lineRule="auto"/>
        <w:ind w:left="794" w:right="176" w:firstLine="0"/>
        <w:jc w:val="right"/>
      </w:pPr>
      <w:r>
        <w:rPr>
          <w:b/>
        </w:rPr>
        <w:t xml:space="preserve">POLICY #2025-02-04 </w:t>
      </w:r>
      <w:r>
        <w:t xml:space="preserve"> </w:t>
      </w:r>
    </w:p>
    <w:p w14:paraId="4ABE26C9" w14:textId="77777777" w:rsidR="00C97292" w:rsidRDefault="00000000">
      <w:pPr>
        <w:spacing w:after="318" w:line="259" w:lineRule="auto"/>
        <w:ind w:left="794" w:right="0" w:firstLine="0"/>
        <w:jc w:val="right"/>
      </w:pPr>
      <w:r>
        <w:rPr>
          <w:noProof/>
        </w:rPr>
        <w:drawing>
          <wp:anchor distT="0" distB="0" distL="114300" distR="114300" simplePos="0" relativeHeight="251658240" behindDoc="0" locked="0" layoutInCell="1" allowOverlap="0" wp14:anchorId="49CD0B1D" wp14:editId="5A30435B">
            <wp:simplePos x="0" y="0"/>
            <wp:positionH relativeFrom="column">
              <wp:posOffset>503885</wp:posOffset>
            </wp:positionH>
            <wp:positionV relativeFrom="paragraph">
              <wp:posOffset>-7517</wp:posOffset>
            </wp:positionV>
            <wp:extent cx="1115695" cy="1032980"/>
            <wp:effectExtent l="0" t="0" r="0" b="0"/>
            <wp:wrapSquare wrapText="bothSides"/>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
                    <a:stretch>
                      <a:fillRect/>
                    </a:stretch>
                  </pic:blipFill>
                  <pic:spPr>
                    <a:xfrm>
                      <a:off x="0" y="0"/>
                      <a:ext cx="1115695" cy="1032980"/>
                    </a:xfrm>
                    <a:prstGeom prst="rect">
                      <a:avLst/>
                    </a:prstGeom>
                  </pic:spPr>
                </pic:pic>
              </a:graphicData>
            </a:graphic>
          </wp:anchor>
        </w:drawing>
      </w:r>
      <w:r>
        <w:rPr>
          <w:sz w:val="28"/>
        </w:rPr>
        <w:t xml:space="preserve"> </w:t>
      </w:r>
      <w:r>
        <w:t xml:space="preserve"> </w:t>
      </w:r>
    </w:p>
    <w:p w14:paraId="7BE2C74E" w14:textId="77777777" w:rsidR="00C97292" w:rsidRDefault="00000000">
      <w:pPr>
        <w:spacing w:after="0" w:line="259" w:lineRule="auto"/>
        <w:ind w:left="794" w:right="0" w:firstLine="0"/>
        <w:jc w:val="center"/>
      </w:pPr>
      <w:r>
        <w:rPr>
          <w:b/>
          <w:sz w:val="36"/>
        </w:rPr>
        <w:t xml:space="preserve">Hospitality Policy  </w:t>
      </w:r>
      <w:r>
        <w:t xml:space="preserve"> </w:t>
      </w:r>
    </w:p>
    <w:p w14:paraId="477D96F4" w14:textId="77777777" w:rsidR="00C97292" w:rsidRDefault="00000000">
      <w:pPr>
        <w:spacing w:after="254" w:line="259" w:lineRule="auto"/>
        <w:ind w:left="794" w:right="17" w:firstLine="0"/>
        <w:jc w:val="right"/>
      </w:pPr>
      <w:r>
        <w:rPr>
          <w:b/>
        </w:rPr>
        <w:t xml:space="preserve"> </w:t>
      </w:r>
      <w:r>
        <w:t xml:space="preserve"> </w:t>
      </w:r>
    </w:p>
    <w:p w14:paraId="3814DF1D" w14:textId="77777777" w:rsidR="00C97292" w:rsidRDefault="00000000">
      <w:pPr>
        <w:pStyle w:val="Heading1"/>
        <w:ind w:left="690" w:hanging="578"/>
      </w:pPr>
      <w:r>
        <w:t>Purpose</w:t>
      </w:r>
      <w:r>
        <w:rPr>
          <w:u w:val="none"/>
        </w:rPr>
        <w:t xml:space="preserve">  </w:t>
      </w:r>
    </w:p>
    <w:p w14:paraId="13C03886" w14:textId="77777777" w:rsidR="00C97292" w:rsidRDefault="00000000">
      <w:pPr>
        <w:numPr>
          <w:ilvl w:val="0"/>
          <w:numId w:val="1"/>
        </w:numPr>
        <w:ind w:right="159" w:hanging="360"/>
      </w:pPr>
      <w:r>
        <w:t xml:space="preserve">The Municipality of the County of Pictou (“Municipality”) recognizes that hospitality-related activities are, at times, necessary and legitimate expenses supporting the effective conduct of government business and for reasons of diplomacy, protocol, business development or promotional advocacy.   </w:t>
      </w:r>
    </w:p>
    <w:p w14:paraId="5045301D" w14:textId="77777777" w:rsidR="00C97292" w:rsidRDefault="00000000">
      <w:pPr>
        <w:numPr>
          <w:ilvl w:val="0"/>
          <w:numId w:val="1"/>
        </w:numPr>
        <w:ind w:right="159" w:hanging="360"/>
      </w:pPr>
      <w:r>
        <w:t xml:space="preserve">The offering of hospitality will be done in such a manner </w:t>
      </w:r>
      <w:proofErr w:type="gramStart"/>
      <w:r>
        <w:t>so as to</w:t>
      </w:r>
      <w:proofErr w:type="gramEnd"/>
      <w:r>
        <w:t xml:space="preserve"> reflect the prudent stewardship of public funds. This policy safeguards the appropriate use of public funds through the establishment of uniform standards and procedures respecting Council member, Chief Administrative Officer (“CAO”) and Municipality</w:t>
      </w:r>
      <w:r>
        <w:rPr>
          <w:b/>
        </w:rPr>
        <w:t xml:space="preserve"> </w:t>
      </w:r>
      <w:r>
        <w:t xml:space="preserve">employee hospitality claims.   </w:t>
      </w:r>
    </w:p>
    <w:p w14:paraId="0953B4A9" w14:textId="77777777" w:rsidR="00C97292" w:rsidRDefault="00000000">
      <w:pPr>
        <w:pStyle w:val="Heading1"/>
        <w:ind w:left="690" w:hanging="578"/>
      </w:pPr>
      <w:r>
        <w:t>Policy Objectives</w:t>
      </w:r>
      <w:r>
        <w:rPr>
          <w:u w:val="none"/>
        </w:rPr>
        <w:t xml:space="preserve">  </w:t>
      </w:r>
    </w:p>
    <w:p w14:paraId="6B466EFD" w14:textId="77777777" w:rsidR="00C97292" w:rsidRDefault="00000000">
      <w:pPr>
        <w:numPr>
          <w:ilvl w:val="0"/>
          <w:numId w:val="2"/>
        </w:numPr>
        <w:ind w:right="159" w:hanging="360"/>
      </w:pPr>
      <w:r>
        <w:t xml:space="preserve">To provide direction and guidance with respect to the appropriate </w:t>
      </w:r>
      <w:proofErr w:type="gramStart"/>
      <w:r>
        <w:t>expensing</w:t>
      </w:r>
      <w:proofErr w:type="gramEnd"/>
      <w:r>
        <w:t xml:space="preserve"> of necessary hospitality expenses that support the Municipality’s objectives.  </w:t>
      </w:r>
    </w:p>
    <w:p w14:paraId="081CD793" w14:textId="77777777" w:rsidR="00C97292" w:rsidRDefault="00000000">
      <w:pPr>
        <w:numPr>
          <w:ilvl w:val="0"/>
          <w:numId w:val="2"/>
        </w:numPr>
        <w:ind w:right="159" w:hanging="360"/>
      </w:pPr>
      <w:r>
        <w:t xml:space="preserve">To ensure hospitality is offered in an accountable, </w:t>
      </w:r>
      <w:proofErr w:type="gramStart"/>
      <w:r>
        <w:t>economical</w:t>
      </w:r>
      <w:proofErr w:type="gramEnd"/>
      <w:r>
        <w:t xml:space="preserve"> and consistent manner in the facilitation of government business and/or for reasons of diplomacy, protocol, business development or promotional advocacy.  </w:t>
      </w:r>
    </w:p>
    <w:p w14:paraId="5586D906" w14:textId="77777777" w:rsidR="00C97292" w:rsidRDefault="00000000">
      <w:pPr>
        <w:numPr>
          <w:ilvl w:val="0"/>
          <w:numId w:val="2"/>
        </w:numPr>
        <w:ind w:right="159" w:hanging="360"/>
      </w:pPr>
      <w:r>
        <w:t xml:space="preserve">To ensure taxpayers’ dollars are used prudently and responsibly with a focus on accountability and transparency.  </w:t>
      </w:r>
    </w:p>
    <w:p w14:paraId="3140A4FB" w14:textId="77777777" w:rsidR="00C97292" w:rsidRDefault="00000000">
      <w:pPr>
        <w:pStyle w:val="Heading1"/>
        <w:spacing w:after="217"/>
        <w:ind w:left="690" w:hanging="578"/>
      </w:pPr>
      <w:r>
        <w:t>Hospitality and Hospitality Events</w:t>
      </w:r>
      <w:r>
        <w:rPr>
          <w:u w:val="none"/>
        </w:rPr>
        <w:t xml:space="preserve">  </w:t>
      </w:r>
    </w:p>
    <w:p w14:paraId="1805F6F2" w14:textId="77777777" w:rsidR="00C97292" w:rsidRDefault="00000000">
      <w:pPr>
        <w:ind w:left="1421" w:right="159"/>
      </w:pPr>
      <w:r>
        <w:t>a.</w:t>
      </w:r>
      <w:r>
        <w:rPr>
          <w:rFonts w:ascii="Arial" w:eastAsia="Arial" w:hAnsi="Arial" w:cs="Arial"/>
        </w:rPr>
        <w:t xml:space="preserve"> </w:t>
      </w:r>
      <w:r>
        <w:t xml:space="preserve">A hospitality event is a reception, ceremony, conference, or other event that involves hosting individuals from outside the Municipality. Hospitality may be offered under the following circumstances in accordance with this policy:  </w:t>
      </w:r>
    </w:p>
    <w:p w14:paraId="37DF5983" w14:textId="77777777" w:rsidR="00C97292" w:rsidRDefault="00000000">
      <w:pPr>
        <w:numPr>
          <w:ilvl w:val="1"/>
          <w:numId w:val="4"/>
        </w:numPr>
        <w:ind w:right="382" w:firstLine="58"/>
      </w:pPr>
      <w:r>
        <w:t xml:space="preserve">Hosting foreign </w:t>
      </w:r>
      <w:proofErr w:type="gramStart"/>
      <w:r>
        <w:t>dignitaries;</w:t>
      </w:r>
      <w:proofErr w:type="gramEnd"/>
      <w:r>
        <w:t xml:space="preserve">  </w:t>
      </w:r>
    </w:p>
    <w:p w14:paraId="0E79C7E4" w14:textId="77777777" w:rsidR="00C97292" w:rsidRDefault="00000000">
      <w:pPr>
        <w:numPr>
          <w:ilvl w:val="1"/>
          <w:numId w:val="4"/>
        </w:numPr>
        <w:spacing w:after="720" w:line="307" w:lineRule="auto"/>
        <w:ind w:right="382" w:firstLine="58"/>
      </w:pPr>
      <w:r>
        <w:t xml:space="preserve">Engaging in official public matters with representatives from other governments, business, industry or </w:t>
      </w:r>
      <w:proofErr w:type="spellStart"/>
      <w:r>
        <w:t>labour</w:t>
      </w:r>
      <w:proofErr w:type="spellEnd"/>
      <w:r>
        <w:t xml:space="preserve"> leaders, or other community leaders; iii.</w:t>
      </w:r>
      <w:r>
        <w:rPr>
          <w:rFonts w:ascii="Arial" w:eastAsia="Arial" w:hAnsi="Arial" w:cs="Arial"/>
        </w:rPr>
        <w:t xml:space="preserve"> </w:t>
      </w:r>
      <w:r>
        <w:t xml:space="preserve">Sponsoring or hosting </w:t>
      </w:r>
      <w:proofErr w:type="gramStart"/>
      <w:r>
        <w:t>conferences;</w:t>
      </w:r>
      <w:proofErr w:type="gramEnd"/>
      <w:r>
        <w:t xml:space="preserve">  </w:t>
      </w:r>
    </w:p>
    <w:p w14:paraId="70F62C60" w14:textId="77777777" w:rsidR="00C97292" w:rsidRDefault="00000000">
      <w:pPr>
        <w:spacing w:after="0" w:line="259" w:lineRule="auto"/>
        <w:ind w:left="0" w:right="0" w:firstLine="0"/>
        <w:jc w:val="left"/>
      </w:pPr>
      <w:r>
        <w:lastRenderedPageBreak/>
        <w:t xml:space="preserve"> </w:t>
      </w:r>
    </w:p>
    <w:p w14:paraId="2F1141B5" w14:textId="77777777" w:rsidR="00C97292" w:rsidRDefault="00000000">
      <w:pPr>
        <w:numPr>
          <w:ilvl w:val="0"/>
          <w:numId w:val="3"/>
        </w:numPr>
        <w:ind w:right="159" w:hanging="415"/>
      </w:pPr>
      <w:r>
        <w:t xml:space="preserve">Hosting ceremonies / recognition events; and  </w:t>
      </w:r>
    </w:p>
    <w:p w14:paraId="441286B5" w14:textId="77777777" w:rsidR="00C97292" w:rsidRDefault="00000000">
      <w:pPr>
        <w:numPr>
          <w:ilvl w:val="0"/>
          <w:numId w:val="3"/>
        </w:numPr>
        <w:ind w:right="159" w:hanging="415"/>
      </w:pPr>
      <w:r>
        <w:t>Other official functions, as approved by the CAO, their designate or Municipal</w:t>
      </w:r>
      <w:r>
        <w:rPr>
          <w:b/>
        </w:rPr>
        <w:t xml:space="preserve"> </w:t>
      </w:r>
      <w:r>
        <w:t xml:space="preserve">Council.  </w:t>
      </w:r>
    </w:p>
    <w:p w14:paraId="15C6B250" w14:textId="77777777" w:rsidR="00C97292" w:rsidRDefault="00000000">
      <w:pPr>
        <w:pStyle w:val="Heading1"/>
        <w:spacing w:after="0"/>
        <w:ind w:left="690" w:hanging="578"/>
      </w:pPr>
      <w:r>
        <w:t>Signing Authority</w:t>
      </w:r>
      <w:r>
        <w:rPr>
          <w:u w:val="none"/>
        </w:rPr>
        <w:t xml:space="preserve">  </w:t>
      </w:r>
    </w:p>
    <w:p w14:paraId="02B35167" w14:textId="77777777" w:rsidR="00C97292" w:rsidRDefault="00000000">
      <w:pPr>
        <w:spacing w:after="37" w:line="259" w:lineRule="auto"/>
        <w:ind w:left="720" w:right="0" w:firstLine="0"/>
        <w:jc w:val="left"/>
      </w:pPr>
      <w:r>
        <w:rPr>
          <w:b/>
        </w:rPr>
        <w:t xml:space="preserve"> </w:t>
      </w:r>
      <w:r>
        <w:t xml:space="preserve"> </w:t>
      </w:r>
    </w:p>
    <w:p w14:paraId="34468195" w14:textId="77777777" w:rsidR="00C97292" w:rsidRDefault="00000000">
      <w:pPr>
        <w:numPr>
          <w:ilvl w:val="0"/>
          <w:numId w:val="5"/>
        </w:numPr>
        <w:spacing w:after="228"/>
        <w:ind w:right="159" w:hanging="360"/>
      </w:pPr>
      <w:r>
        <w:t xml:space="preserve">The following are the Signing Authorities for the positions referred to, and shall be responsible for administering this policy with respect to the individuals in those positions:  </w:t>
      </w:r>
    </w:p>
    <w:p w14:paraId="0FE60E92" w14:textId="77777777" w:rsidR="00C97292" w:rsidRDefault="00000000">
      <w:pPr>
        <w:spacing w:after="0" w:line="259" w:lineRule="auto"/>
        <w:ind w:left="1440" w:right="0" w:firstLine="0"/>
        <w:jc w:val="left"/>
      </w:pPr>
      <w:r>
        <w:t xml:space="preserve">  </w:t>
      </w:r>
    </w:p>
    <w:tbl>
      <w:tblPr>
        <w:tblStyle w:val="TableGrid"/>
        <w:tblW w:w="8927" w:type="dxa"/>
        <w:tblInd w:w="437" w:type="dxa"/>
        <w:tblCellMar>
          <w:top w:w="58" w:type="dxa"/>
          <w:left w:w="216" w:type="dxa"/>
          <w:bottom w:w="32" w:type="dxa"/>
          <w:right w:w="115" w:type="dxa"/>
        </w:tblCellMar>
        <w:tblLook w:val="04A0" w:firstRow="1" w:lastRow="0" w:firstColumn="1" w:lastColumn="0" w:noHBand="0" w:noVBand="1"/>
      </w:tblPr>
      <w:tblGrid>
        <w:gridCol w:w="4462"/>
        <w:gridCol w:w="4465"/>
      </w:tblGrid>
      <w:tr w:rsidR="00C97292" w14:paraId="6565389C" w14:textId="77777777">
        <w:trPr>
          <w:trHeight w:val="562"/>
        </w:trPr>
        <w:tc>
          <w:tcPr>
            <w:tcW w:w="4462" w:type="dxa"/>
            <w:tcBorders>
              <w:top w:val="single" w:sz="4" w:space="0" w:color="000000"/>
              <w:left w:val="single" w:sz="4" w:space="0" w:color="000000"/>
              <w:bottom w:val="single" w:sz="4" w:space="0" w:color="000000"/>
              <w:right w:val="single" w:sz="4" w:space="0" w:color="000000"/>
            </w:tcBorders>
            <w:vAlign w:val="bottom"/>
          </w:tcPr>
          <w:p w14:paraId="07C9AE91" w14:textId="77777777" w:rsidR="00C97292" w:rsidRDefault="00000000">
            <w:pPr>
              <w:spacing w:after="0" w:line="259" w:lineRule="auto"/>
              <w:ind w:left="0" w:right="75" w:firstLine="0"/>
              <w:jc w:val="center"/>
            </w:pPr>
            <w:r>
              <w:rPr>
                <w:b/>
              </w:rPr>
              <w:t xml:space="preserve">Position </w:t>
            </w:r>
            <w:r>
              <w:t xml:space="preserve"> </w:t>
            </w:r>
          </w:p>
        </w:tc>
        <w:tc>
          <w:tcPr>
            <w:tcW w:w="4465" w:type="dxa"/>
            <w:tcBorders>
              <w:top w:val="single" w:sz="4" w:space="0" w:color="000000"/>
              <w:left w:val="single" w:sz="4" w:space="0" w:color="000000"/>
              <w:bottom w:val="single" w:sz="4" w:space="0" w:color="000000"/>
              <w:right w:val="single" w:sz="4" w:space="0" w:color="000000"/>
            </w:tcBorders>
            <w:vAlign w:val="bottom"/>
          </w:tcPr>
          <w:p w14:paraId="5F3A94A4" w14:textId="77777777" w:rsidR="00C97292" w:rsidRDefault="00000000">
            <w:pPr>
              <w:spacing w:after="0" w:line="259" w:lineRule="auto"/>
              <w:ind w:left="0" w:right="103" w:firstLine="0"/>
              <w:jc w:val="center"/>
            </w:pPr>
            <w:r>
              <w:rPr>
                <w:b/>
              </w:rPr>
              <w:t xml:space="preserve">Signing Authority </w:t>
            </w:r>
            <w:r>
              <w:t xml:space="preserve"> </w:t>
            </w:r>
          </w:p>
        </w:tc>
      </w:tr>
      <w:tr w:rsidR="00C97292" w14:paraId="0607576D" w14:textId="77777777">
        <w:trPr>
          <w:trHeight w:val="650"/>
        </w:trPr>
        <w:tc>
          <w:tcPr>
            <w:tcW w:w="4462" w:type="dxa"/>
            <w:tcBorders>
              <w:top w:val="single" w:sz="4" w:space="0" w:color="000000"/>
              <w:left w:val="single" w:sz="4" w:space="0" w:color="000000"/>
              <w:bottom w:val="single" w:sz="4" w:space="0" w:color="000000"/>
              <w:right w:val="single" w:sz="4" w:space="0" w:color="000000"/>
            </w:tcBorders>
            <w:vAlign w:val="bottom"/>
          </w:tcPr>
          <w:p w14:paraId="77399B20" w14:textId="77777777" w:rsidR="00C97292" w:rsidRDefault="00000000">
            <w:pPr>
              <w:spacing w:after="0" w:line="259" w:lineRule="auto"/>
              <w:ind w:left="204" w:right="0" w:firstLine="0"/>
              <w:jc w:val="left"/>
            </w:pPr>
            <w:r>
              <w:t xml:space="preserve">Member of </w:t>
            </w:r>
            <w:r>
              <w:rPr>
                <w:b/>
              </w:rPr>
              <w:t>Municipal</w:t>
            </w:r>
            <w:r>
              <w:t xml:space="preserve"> Council  </w:t>
            </w:r>
          </w:p>
        </w:tc>
        <w:tc>
          <w:tcPr>
            <w:tcW w:w="4465" w:type="dxa"/>
            <w:tcBorders>
              <w:top w:val="single" w:sz="4" w:space="0" w:color="000000"/>
              <w:left w:val="single" w:sz="4" w:space="0" w:color="000000"/>
              <w:bottom w:val="single" w:sz="4" w:space="0" w:color="000000"/>
              <w:right w:val="single" w:sz="4" w:space="0" w:color="000000"/>
            </w:tcBorders>
          </w:tcPr>
          <w:p w14:paraId="78010E63" w14:textId="77777777" w:rsidR="00C97292" w:rsidRDefault="00000000">
            <w:pPr>
              <w:spacing w:after="0" w:line="259" w:lineRule="auto"/>
              <w:ind w:left="0" w:right="0" w:firstLine="0"/>
              <w:jc w:val="left"/>
            </w:pPr>
            <w:r>
              <w:t xml:space="preserve">CAO or designates AND   </w:t>
            </w:r>
          </w:p>
          <w:p w14:paraId="5B91DE3B" w14:textId="77777777" w:rsidR="00C97292" w:rsidRDefault="00000000">
            <w:pPr>
              <w:spacing w:after="0" w:line="259" w:lineRule="auto"/>
              <w:ind w:left="0" w:right="0" w:firstLine="0"/>
              <w:jc w:val="left"/>
            </w:pPr>
            <w:r>
              <w:t xml:space="preserve">Audit Committee Chair or Vice-Chair  </w:t>
            </w:r>
          </w:p>
        </w:tc>
      </w:tr>
      <w:tr w:rsidR="00C97292" w14:paraId="29716796" w14:textId="77777777">
        <w:trPr>
          <w:trHeight w:val="653"/>
        </w:trPr>
        <w:tc>
          <w:tcPr>
            <w:tcW w:w="4462" w:type="dxa"/>
            <w:tcBorders>
              <w:top w:val="single" w:sz="4" w:space="0" w:color="000000"/>
              <w:left w:val="single" w:sz="4" w:space="0" w:color="000000"/>
              <w:bottom w:val="single" w:sz="4" w:space="0" w:color="000000"/>
              <w:right w:val="single" w:sz="4" w:space="0" w:color="000000"/>
            </w:tcBorders>
            <w:vAlign w:val="bottom"/>
          </w:tcPr>
          <w:p w14:paraId="62B1A9D7" w14:textId="77777777" w:rsidR="00C97292" w:rsidRDefault="00000000">
            <w:pPr>
              <w:spacing w:after="0" w:line="259" w:lineRule="auto"/>
              <w:ind w:left="204" w:right="0" w:firstLine="0"/>
              <w:jc w:val="left"/>
            </w:pPr>
            <w:r>
              <w:t xml:space="preserve">CAO  </w:t>
            </w:r>
          </w:p>
        </w:tc>
        <w:tc>
          <w:tcPr>
            <w:tcW w:w="4465" w:type="dxa"/>
            <w:tcBorders>
              <w:top w:val="single" w:sz="4" w:space="0" w:color="000000"/>
              <w:left w:val="single" w:sz="4" w:space="0" w:color="000000"/>
              <w:bottom w:val="single" w:sz="4" w:space="0" w:color="000000"/>
              <w:right w:val="single" w:sz="4" w:space="0" w:color="000000"/>
            </w:tcBorders>
          </w:tcPr>
          <w:p w14:paraId="54CD949D" w14:textId="77777777" w:rsidR="00C97292" w:rsidRDefault="00000000">
            <w:pPr>
              <w:spacing w:after="0" w:line="259" w:lineRule="auto"/>
              <w:ind w:left="0" w:right="0" w:firstLine="0"/>
              <w:jc w:val="left"/>
            </w:pPr>
            <w:r>
              <w:t>Warden</w:t>
            </w:r>
            <w:r>
              <w:rPr>
                <w:b/>
              </w:rPr>
              <w:t xml:space="preserve"> </w:t>
            </w:r>
            <w:r>
              <w:t xml:space="preserve">or designate AND   </w:t>
            </w:r>
          </w:p>
          <w:p w14:paraId="6DCB405F" w14:textId="77777777" w:rsidR="00C97292" w:rsidRDefault="00000000">
            <w:pPr>
              <w:spacing w:after="0" w:line="259" w:lineRule="auto"/>
              <w:ind w:left="0" w:right="0" w:firstLine="0"/>
              <w:jc w:val="left"/>
            </w:pPr>
            <w:r>
              <w:t>Audit Committee Chair or Vice-Chair</w:t>
            </w:r>
            <w:r>
              <w:rPr>
                <w:b/>
              </w:rPr>
              <w:t xml:space="preserve"> </w:t>
            </w:r>
            <w:r>
              <w:t xml:space="preserve"> </w:t>
            </w:r>
          </w:p>
        </w:tc>
      </w:tr>
      <w:tr w:rsidR="00C97292" w14:paraId="6FA7D33E" w14:textId="77777777">
        <w:trPr>
          <w:trHeight w:val="650"/>
        </w:trPr>
        <w:tc>
          <w:tcPr>
            <w:tcW w:w="4462" w:type="dxa"/>
            <w:tcBorders>
              <w:top w:val="single" w:sz="4" w:space="0" w:color="000000"/>
              <w:left w:val="single" w:sz="4" w:space="0" w:color="000000"/>
              <w:bottom w:val="single" w:sz="4" w:space="0" w:color="000000"/>
              <w:right w:val="single" w:sz="4" w:space="0" w:color="000000"/>
            </w:tcBorders>
            <w:vAlign w:val="bottom"/>
          </w:tcPr>
          <w:p w14:paraId="7E9FAEB2" w14:textId="77777777" w:rsidR="00C97292" w:rsidRDefault="00000000">
            <w:pPr>
              <w:spacing w:after="0" w:line="259" w:lineRule="auto"/>
              <w:ind w:left="204" w:right="0" w:firstLine="0"/>
              <w:jc w:val="left"/>
            </w:pPr>
            <w:r>
              <w:t>Municipal</w:t>
            </w:r>
            <w:r>
              <w:rPr>
                <w:b/>
              </w:rPr>
              <w:t xml:space="preserve"> </w:t>
            </w:r>
            <w:r>
              <w:t xml:space="preserve">Employees  </w:t>
            </w:r>
          </w:p>
        </w:tc>
        <w:tc>
          <w:tcPr>
            <w:tcW w:w="4465" w:type="dxa"/>
            <w:tcBorders>
              <w:top w:val="single" w:sz="4" w:space="0" w:color="000000"/>
              <w:left w:val="single" w:sz="4" w:space="0" w:color="000000"/>
              <w:bottom w:val="single" w:sz="4" w:space="0" w:color="000000"/>
              <w:right w:val="single" w:sz="4" w:space="0" w:color="000000"/>
            </w:tcBorders>
          </w:tcPr>
          <w:p w14:paraId="4EFDCE43" w14:textId="77777777" w:rsidR="00C97292" w:rsidRDefault="00000000">
            <w:pPr>
              <w:spacing w:after="0" w:line="259" w:lineRule="auto"/>
              <w:ind w:left="0" w:right="0" w:firstLine="0"/>
              <w:jc w:val="left"/>
            </w:pPr>
            <w:r>
              <w:t xml:space="preserve">Immediate Supervisor or designate AND </w:t>
            </w:r>
          </w:p>
          <w:p w14:paraId="79DEB3E2" w14:textId="77777777" w:rsidR="00C97292" w:rsidRDefault="00000000">
            <w:pPr>
              <w:spacing w:after="0" w:line="259" w:lineRule="auto"/>
              <w:ind w:left="0" w:right="0" w:firstLine="0"/>
              <w:jc w:val="left"/>
            </w:pPr>
            <w:r>
              <w:t>CAO</w:t>
            </w:r>
            <w:r>
              <w:rPr>
                <w:b/>
              </w:rPr>
              <w:t xml:space="preserve"> </w:t>
            </w:r>
            <w:r>
              <w:t xml:space="preserve">or designate  </w:t>
            </w:r>
          </w:p>
        </w:tc>
      </w:tr>
    </w:tbl>
    <w:p w14:paraId="145FF254" w14:textId="77777777" w:rsidR="00C97292" w:rsidRDefault="00000000">
      <w:pPr>
        <w:numPr>
          <w:ilvl w:val="0"/>
          <w:numId w:val="5"/>
        </w:numPr>
        <w:ind w:right="159" w:hanging="360"/>
      </w:pPr>
      <w:r>
        <w:t xml:space="preserve">The designation of a signing authority shall be in writing and filed with the CAO and shall state the name and position of the designate.  </w:t>
      </w:r>
    </w:p>
    <w:p w14:paraId="3FE03D48" w14:textId="77777777" w:rsidR="00C97292" w:rsidRDefault="00000000">
      <w:pPr>
        <w:numPr>
          <w:ilvl w:val="0"/>
          <w:numId w:val="5"/>
        </w:numPr>
        <w:ind w:right="159" w:hanging="360"/>
      </w:pPr>
      <w:r>
        <w:t xml:space="preserve">A Signing Authority is prohibited from authorizing payment of hospitality expenses incurred on their own behalf.  </w:t>
      </w:r>
    </w:p>
    <w:p w14:paraId="189BD8E9" w14:textId="77777777" w:rsidR="00C97292" w:rsidRDefault="00000000">
      <w:pPr>
        <w:pStyle w:val="Heading1"/>
        <w:ind w:left="690" w:hanging="578"/>
      </w:pPr>
      <w:r>
        <w:t>Prior Authorization</w:t>
      </w:r>
      <w:r>
        <w:rPr>
          <w:u w:val="none"/>
        </w:rPr>
        <w:t xml:space="preserve">  </w:t>
      </w:r>
    </w:p>
    <w:p w14:paraId="2DDD2FBF" w14:textId="77777777" w:rsidR="00C97292" w:rsidRDefault="00000000">
      <w:pPr>
        <w:numPr>
          <w:ilvl w:val="0"/>
          <w:numId w:val="6"/>
        </w:numPr>
        <w:ind w:right="159" w:hanging="360"/>
      </w:pPr>
      <w:r>
        <w:t xml:space="preserve">Subject to this policy, all hospitality events require prior authorization.  </w:t>
      </w:r>
    </w:p>
    <w:p w14:paraId="197D88B5" w14:textId="77777777" w:rsidR="00C97292" w:rsidRDefault="00000000">
      <w:pPr>
        <w:numPr>
          <w:ilvl w:val="0"/>
          <w:numId w:val="6"/>
        </w:numPr>
        <w:ind w:right="159" w:hanging="360"/>
      </w:pPr>
      <w:r>
        <w:t xml:space="preserve">A request for prior authorization for hospitality events requires the following information:  </w:t>
      </w:r>
    </w:p>
    <w:p w14:paraId="7FF244D1" w14:textId="77777777" w:rsidR="00C97292" w:rsidRDefault="00000000">
      <w:pPr>
        <w:numPr>
          <w:ilvl w:val="1"/>
          <w:numId w:val="6"/>
        </w:numPr>
        <w:spacing w:after="44"/>
        <w:ind w:right="159" w:firstLine="0"/>
      </w:pPr>
      <w:r>
        <w:t xml:space="preserve">rationale/purpose of the </w:t>
      </w:r>
      <w:proofErr w:type="gramStart"/>
      <w:r>
        <w:t>event;</w:t>
      </w:r>
      <w:proofErr w:type="gramEnd"/>
      <w:r>
        <w:t xml:space="preserve">  </w:t>
      </w:r>
    </w:p>
    <w:p w14:paraId="0C47078E" w14:textId="77777777" w:rsidR="00C97292" w:rsidRDefault="00000000">
      <w:pPr>
        <w:numPr>
          <w:ilvl w:val="1"/>
          <w:numId w:val="6"/>
        </w:numPr>
        <w:spacing w:after="33"/>
        <w:ind w:right="159" w:firstLine="0"/>
      </w:pPr>
      <w:r>
        <w:t>estimated numbers of attendees and their respective affiliations</w:t>
      </w:r>
      <w:proofErr w:type="gramStart"/>
      <w:r>
        <w:t>;  iii.</w:t>
      </w:r>
      <w:proofErr w:type="gramEnd"/>
      <w:r>
        <w:rPr>
          <w:rFonts w:ascii="Arial" w:eastAsia="Arial" w:hAnsi="Arial" w:cs="Arial"/>
        </w:rPr>
        <w:t xml:space="preserve"> </w:t>
      </w:r>
      <w:proofErr w:type="gramStart"/>
      <w:r>
        <w:t>if</w:t>
      </w:r>
      <w:proofErr w:type="gramEnd"/>
      <w:r>
        <w:t xml:space="preserve"> alcohol is to be provided at the event, the reasons that the provision of alcohol is appropriate and warranted in the </w:t>
      </w:r>
      <w:proofErr w:type="gramStart"/>
      <w:r>
        <w:t>circumstances;</w:t>
      </w:r>
      <w:proofErr w:type="gramEnd"/>
      <w:r>
        <w:t xml:space="preserve">  </w:t>
      </w:r>
    </w:p>
    <w:p w14:paraId="1BF98F5B" w14:textId="77777777" w:rsidR="00C97292" w:rsidRDefault="00000000">
      <w:pPr>
        <w:ind w:left="1771" w:right="159" w:firstLine="0"/>
      </w:pPr>
      <w:r>
        <w:t>iv.</w:t>
      </w:r>
      <w:r>
        <w:rPr>
          <w:rFonts w:ascii="Arial" w:eastAsia="Arial" w:hAnsi="Arial" w:cs="Arial"/>
        </w:rPr>
        <w:t xml:space="preserve"> </w:t>
      </w:r>
      <w:r>
        <w:t xml:space="preserve">estimated itemized costs including gratuities and supplementary expenses.  </w:t>
      </w:r>
    </w:p>
    <w:p w14:paraId="4FFD5573" w14:textId="77777777" w:rsidR="00C97292" w:rsidRDefault="00000000">
      <w:pPr>
        <w:numPr>
          <w:ilvl w:val="0"/>
          <w:numId w:val="6"/>
        </w:numPr>
        <w:ind w:right="159" w:hanging="360"/>
      </w:pPr>
      <w:r>
        <w:lastRenderedPageBreak/>
        <w:t xml:space="preserve">Requests for hospitality events shall be reviewed by either the CAO or their designate, or Council, who shall consider the value and benefit of the proposed event in relation to its cost in deciding whether to approve the hospitality event.  </w:t>
      </w:r>
    </w:p>
    <w:p w14:paraId="44C3E9E1" w14:textId="77777777" w:rsidR="00C97292" w:rsidRDefault="00000000">
      <w:pPr>
        <w:numPr>
          <w:ilvl w:val="0"/>
          <w:numId w:val="6"/>
        </w:numPr>
        <w:ind w:right="159" w:hanging="360"/>
      </w:pPr>
      <w:r>
        <w:t xml:space="preserve">In instances where a hospitality event has been held without prior approval, claims for reimbursement must provide the details outlined above </w:t>
      </w:r>
      <w:proofErr w:type="gramStart"/>
      <w:r>
        <w:t>and also</w:t>
      </w:r>
      <w:proofErr w:type="gramEnd"/>
      <w:r>
        <w:t xml:space="preserve"> include a document outlining the reasons prior approval was not possible.   </w:t>
      </w:r>
    </w:p>
    <w:p w14:paraId="2AF0330F" w14:textId="77777777" w:rsidR="00C97292" w:rsidRDefault="00000000">
      <w:pPr>
        <w:pStyle w:val="Heading1"/>
        <w:ind w:left="690" w:hanging="578"/>
      </w:pPr>
      <w:r>
        <w:t>Serving of Alcohol</w:t>
      </w:r>
      <w:r>
        <w:rPr>
          <w:b w:val="0"/>
          <w:u w:val="none"/>
        </w:rPr>
        <w:t xml:space="preserve"> </w:t>
      </w:r>
      <w:r>
        <w:rPr>
          <w:u w:val="none"/>
        </w:rPr>
        <w:t xml:space="preserve"> </w:t>
      </w:r>
    </w:p>
    <w:p w14:paraId="5BE38384" w14:textId="77777777" w:rsidR="00C97292" w:rsidRDefault="00000000">
      <w:pPr>
        <w:numPr>
          <w:ilvl w:val="0"/>
          <w:numId w:val="7"/>
        </w:numPr>
        <w:ind w:right="159" w:hanging="360"/>
      </w:pPr>
      <w:r>
        <w:t>While the standard for hospitality is the provision of non-alcoholic beverages, the provision of alcohol in the context of hospitality for reasons of diplomacy, protocol, business development or promotional advocacy is deemed an acceptable expense in limited circumstances. Any request for approval to serve alcohol at a hospitality event must have prior approval by either the CAO or their designate, or</w:t>
      </w:r>
      <w:r>
        <w:rPr>
          <w:b/>
        </w:rPr>
        <w:t xml:space="preserve"> </w:t>
      </w:r>
      <w:r>
        <w:t xml:space="preserve">Council.  </w:t>
      </w:r>
    </w:p>
    <w:p w14:paraId="42393A37" w14:textId="77777777" w:rsidR="00C97292" w:rsidRDefault="00000000">
      <w:pPr>
        <w:numPr>
          <w:ilvl w:val="0"/>
          <w:numId w:val="7"/>
        </w:numPr>
        <w:ind w:right="159" w:hanging="360"/>
      </w:pPr>
      <w:r>
        <w:t xml:space="preserve">The Municipality, its employees and members of </w:t>
      </w:r>
      <w:proofErr w:type="gramStart"/>
      <w:r>
        <w:t>Council</w:t>
      </w:r>
      <w:proofErr w:type="gramEnd"/>
      <w:r>
        <w:t xml:space="preserve"> are expected to act responsibly in the use of public funds and in the care and well-being of themselves, other employees and their respective guests with respect to the serving of alcohol.   </w:t>
      </w:r>
    </w:p>
    <w:p w14:paraId="287B32F6" w14:textId="77777777" w:rsidR="00C97292" w:rsidRDefault="00000000">
      <w:pPr>
        <w:numPr>
          <w:ilvl w:val="0"/>
          <w:numId w:val="7"/>
        </w:numPr>
        <w:ind w:right="159" w:hanging="360"/>
      </w:pPr>
      <w:r>
        <w:t>The Municipality</w:t>
      </w:r>
      <w:r>
        <w:rPr>
          <w:b/>
        </w:rPr>
        <w:t xml:space="preserve"> </w:t>
      </w:r>
      <w:r>
        <w:t xml:space="preserve">will demonstrate good judgment in the reasonableness of the quantity and expense of alcoholic beverages offered to guests.  </w:t>
      </w:r>
    </w:p>
    <w:p w14:paraId="195EDF30" w14:textId="77777777" w:rsidR="00C97292" w:rsidRDefault="00000000">
      <w:pPr>
        <w:numPr>
          <w:ilvl w:val="0"/>
          <w:numId w:val="7"/>
        </w:numPr>
        <w:ind w:right="159" w:hanging="360"/>
      </w:pPr>
      <w:r>
        <w:t xml:space="preserve">If alcohol is provided at a hospitality event, food must be served.   </w:t>
      </w:r>
    </w:p>
    <w:p w14:paraId="67A4E36A" w14:textId="77777777" w:rsidR="00C97292" w:rsidRDefault="00000000">
      <w:pPr>
        <w:pStyle w:val="Heading1"/>
        <w:ind w:left="690" w:hanging="578"/>
      </w:pPr>
      <w:r>
        <w:t>Gifts</w:t>
      </w:r>
      <w:r>
        <w:rPr>
          <w:u w:val="none"/>
        </w:rPr>
        <w:t xml:space="preserve">  </w:t>
      </w:r>
    </w:p>
    <w:p w14:paraId="3BB55571" w14:textId="77777777" w:rsidR="00C97292" w:rsidRDefault="00000000">
      <w:pPr>
        <w:numPr>
          <w:ilvl w:val="0"/>
          <w:numId w:val="8"/>
        </w:numPr>
        <w:ind w:right="159" w:hanging="360"/>
      </w:pPr>
      <w:r>
        <w:t xml:space="preserve">For reasons of diplomacy, protocol, business development or promotional advocacy, the giving of token gifts to individuals outside of government (value not to exceed $40.00 is sometimes appropriate. </w:t>
      </w:r>
      <w:r>
        <w:rPr>
          <w:sz w:val="22"/>
        </w:rPr>
        <w:t xml:space="preserve"> </w:t>
      </w:r>
      <w:r>
        <w:t xml:space="preserve"> </w:t>
      </w:r>
    </w:p>
    <w:p w14:paraId="369B9429" w14:textId="77777777" w:rsidR="00C97292" w:rsidRDefault="00000000">
      <w:pPr>
        <w:numPr>
          <w:ilvl w:val="0"/>
          <w:numId w:val="8"/>
        </w:numPr>
        <w:ind w:right="159" w:hanging="360"/>
      </w:pPr>
      <w:r>
        <w:t xml:space="preserve">Any </w:t>
      </w:r>
      <w:proofErr w:type="gramStart"/>
      <w:r>
        <w:t>giving of gifts</w:t>
      </w:r>
      <w:proofErr w:type="gramEnd"/>
      <w:r>
        <w:t xml:space="preserve"> requires prior approval by either the CAO or their designate, or</w:t>
      </w:r>
      <w:r>
        <w:rPr>
          <w:b/>
        </w:rPr>
        <w:t xml:space="preserve"> </w:t>
      </w:r>
      <w:r>
        <w:t xml:space="preserve">Council. </w:t>
      </w:r>
      <w:r>
        <w:rPr>
          <w:sz w:val="22"/>
        </w:rPr>
        <w:t xml:space="preserve"> </w:t>
      </w:r>
      <w:r>
        <w:t xml:space="preserve"> </w:t>
      </w:r>
    </w:p>
    <w:p w14:paraId="098FC702" w14:textId="77777777" w:rsidR="00C97292" w:rsidRDefault="00000000">
      <w:pPr>
        <w:pStyle w:val="Heading1"/>
        <w:ind w:left="690" w:hanging="578"/>
      </w:pPr>
      <w:r>
        <w:t>Claims for Reimbursement of Hospitality Expenses</w:t>
      </w:r>
      <w:r>
        <w:rPr>
          <w:b w:val="0"/>
          <w:u w:val="none"/>
        </w:rPr>
        <w:t xml:space="preserve"> </w:t>
      </w:r>
      <w:r>
        <w:rPr>
          <w:u w:val="none"/>
        </w:rPr>
        <w:t xml:space="preserve"> </w:t>
      </w:r>
    </w:p>
    <w:p w14:paraId="6BD25098" w14:textId="77777777" w:rsidR="00C97292" w:rsidRDefault="00000000">
      <w:pPr>
        <w:numPr>
          <w:ilvl w:val="0"/>
          <w:numId w:val="9"/>
        </w:numPr>
        <w:ind w:right="159" w:hanging="360"/>
      </w:pPr>
      <w:r>
        <w:t xml:space="preserve">Claims for reimbursement of hospitality expenses must be submitted on the form provided from time to time by the Municipality and shall be signed by the Claimant.  </w:t>
      </w:r>
    </w:p>
    <w:p w14:paraId="7E6AD23F" w14:textId="77777777" w:rsidR="00C97292" w:rsidRDefault="00000000">
      <w:pPr>
        <w:numPr>
          <w:ilvl w:val="0"/>
          <w:numId w:val="9"/>
        </w:numPr>
        <w:ind w:right="159" w:hanging="360"/>
      </w:pPr>
      <w:r>
        <w:t xml:space="preserve">Hospitality expense claims must include the following:  </w:t>
      </w:r>
    </w:p>
    <w:p w14:paraId="6310C4FA" w14:textId="77777777" w:rsidR="00C97292" w:rsidRDefault="00000000">
      <w:pPr>
        <w:numPr>
          <w:ilvl w:val="1"/>
          <w:numId w:val="9"/>
        </w:numPr>
        <w:spacing w:line="359" w:lineRule="auto"/>
        <w:ind w:right="159" w:firstLine="0"/>
      </w:pPr>
      <w:r>
        <w:lastRenderedPageBreak/>
        <w:t>A copy of the signed prior authorization for the hospitality event for which the expense was incurred</w:t>
      </w:r>
      <w:proofErr w:type="gramStart"/>
      <w:r>
        <w:t>;  ii.</w:t>
      </w:r>
      <w:proofErr w:type="gramEnd"/>
      <w:r>
        <w:rPr>
          <w:rFonts w:ascii="Arial" w:eastAsia="Arial" w:hAnsi="Arial" w:cs="Arial"/>
        </w:rPr>
        <w:t xml:space="preserve"> </w:t>
      </w:r>
      <w:r>
        <w:t xml:space="preserve">The names and positions of the guests at the hospitality </w:t>
      </w:r>
      <w:proofErr w:type="gramStart"/>
      <w:r>
        <w:t>event;</w:t>
      </w:r>
      <w:proofErr w:type="gramEnd"/>
      <w:r>
        <w:t xml:space="preserve">  </w:t>
      </w:r>
    </w:p>
    <w:p w14:paraId="1561A209" w14:textId="77777777" w:rsidR="00C97292" w:rsidRDefault="00000000">
      <w:pPr>
        <w:spacing w:after="34" w:line="439" w:lineRule="auto"/>
        <w:ind w:left="2218" w:right="159" w:hanging="420"/>
      </w:pPr>
      <w:r>
        <w:t>iii.</w:t>
      </w:r>
      <w:r>
        <w:rPr>
          <w:rFonts w:ascii="Arial" w:eastAsia="Arial" w:hAnsi="Arial" w:cs="Arial"/>
        </w:rPr>
        <w:t xml:space="preserve"> </w:t>
      </w:r>
      <w:r>
        <w:t>The business objective for the expense; iv.</w:t>
      </w:r>
      <w:r>
        <w:rPr>
          <w:rFonts w:ascii="Arial" w:eastAsia="Arial" w:hAnsi="Arial" w:cs="Arial"/>
        </w:rPr>
        <w:t xml:space="preserve"> </w:t>
      </w:r>
      <w:r>
        <w:t xml:space="preserve">A detailed itemized receipt for the expense.  </w:t>
      </w:r>
    </w:p>
    <w:p w14:paraId="5D91E65F" w14:textId="77777777" w:rsidR="00C97292" w:rsidRDefault="00000000">
      <w:pPr>
        <w:numPr>
          <w:ilvl w:val="0"/>
          <w:numId w:val="9"/>
        </w:numPr>
        <w:ind w:right="159" w:hanging="360"/>
      </w:pPr>
      <w:r>
        <w:t xml:space="preserve">In instances where prior approval of the hospitality event was not possible, the hospitality expense claim must also provide the information required in paragraph 8F and an explanation of why prior approval was not possible.  </w:t>
      </w:r>
    </w:p>
    <w:p w14:paraId="413F9FB5" w14:textId="77777777" w:rsidR="00C97292" w:rsidRDefault="00000000">
      <w:pPr>
        <w:numPr>
          <w:ilvl w:val="0"/>
          <w:numId w:val="9"/>
        </w:numPr>
        <w:ind w:right="159" w:hanging="360"/>
      </w:pPr>
      <w:r>
        <w:t xml:space="preserve">If no receipt is available for a hospitality expense, a written attestation signed by the Claimant must be submitted to explain why the receipt is unavailable, and a description itemizing and confirming the expense must be provided. Debit or credit card transaction records are not acceptable as receipts.   </w:t>
      </w:r>
    </w:p>
    <w:p w14:paraId="40DEAA63" w14:textId="77777777" w:rsidR="00C97292" w:rsidRDefault="00000000">
      <w:pPr>
        <w:numPr>
          <w:ilvl w:val="0"/>
          <w:numId w:val="9"/>
        </w:numPr>
        <w:ind w:right="159" w:hanging="360"/>
      </w:pPr>
      <w:r>
        <w:t xml:space="preserve">Hospitality expenses incurred by one individual on behalf of another must be attributed to the individual for whom those expenses were incurred.  </w:t>
      </w:r>
    </w:p>
    <w:p w14:paraId="393B6451" w14:textId="77777777" w:rsidR="00C97292" w:rsidRDefault="00000000">
      <w:pPr>
        <w:numPr>
          <w:ilvl w:val="0"/>
          <w:numId w:val="9"/>
        </w:numPr>
        <w:ind w:right="159" w:hanging="360"/>
      </w:pPr>
      <w:r>
        <w:t xml:space="preserve">No hospitality expense claim shall be paid unless the claim is first approved for payment by two Signing Authorities who have </w:t>
      </w:r>
      <w:proofErr w:type="gramStart"/>
      <w:r>
        <w:t>authority</w:t>
      </w:r>
      <w:proofErr w:type="gramEnd"/>
      <w:r>
        <w:t xml:space="preserve"> to approve the claim. Before approving an expense claim, a Signing Authority must ensure that:  </w:t>
      </w:r>
    </w:p>
    <w:p w14:paraId="368454CA" w14:textId="77777777" w:rsidR="00C97292" w:rsidRDefault="00000000">
      <w:pPr>
        <w:numPr>
          <w:ilvl w:val="1"/>
          <w:numId w:val="9"/>
        </w:numPr>
        <w:ind w:right="159" w:firstLine="0"/>
      </w:pPr>
      <w:proofErr w:type="gramStart"/>
      <w:r>
        <w:t>the</w:t>
      </w:r>
      <w:proofErr w:type="gramEnd"/>
      <w:r>
        <w:t xml:space="preserve"> claim is consistent with this </w:t>
      </w:r>
      <w:proofErr w:type="gramStart"/>
      <w:r>
        <w:t>policy;</w:t>
      </w:r>
      <w:proofErr w:type="gramEnd"/>
      <w:r>
        <w:t xml:space="preserve">  </w:t>
      </w:r>
    </w:p>
    <w:p w14:paraId="0DB5894D" w14:textId="77777777" w:rsidR="00C97292" w:rsidRDefault="00000000">
      <w:pPr>
        <w:numPr>
          <w:ilvl w:val="1"/>
          <w:numId w:val="9"/>
        </w:numPr>
        <w:ind w:right="159" w:firstLine="0"/>
      </w:pPr>
      <w:r>
        <w:t xml:space="preserve">the expenses claimed were necessarily incurred in the performance of municipal </w:t>
      </w:r>
      <w:proofErr w:type="gramStart"/>
      <w:r>
        <w:t>business;</w:t>
      </w:r>
      <w:proofErr w:type="gramEnd"/>
      <w:r>
        <w:t xml:space="preserve">  </w:t>
      </w:r>
    </w:p>
    <w:p w14:paraId="08610021" w14:textId="77777777" w:rsidR="00C97292" w:rsidRDefault="00000000">
      <w:pPr>
        <w:numPr>
          <w:ilvl w:val="1"/>
          <w:numId w:val="9"/>
        </w:numPr>
        <w:spacing w:after="131" w:line="359" w:lineRule="auto"/>
        <w:ind w:right="159" w:firstLine="0"/>
      </w:pPr>
      <w:r>
        <w:t>appropriate receipts are provided to support the claim, and that the claim documentation is appropriately filed</w:t>
      </w:r>
      <w:proofErr w:type="gramStart"/>
      <w:r>
        <w:t>;  iv.</w:t>
      </w:r>
      <w:proofErr w:type="gramEnd"/>
      <w:r>
        <w:rPr>
          <w:rFonts w:ascii="Arial" w:eastAsia="Arial" w:hAnsi="Arial" w:cs="Arial"/>
        </w:rPr>
        <w:t xml:space="preserve"> </w:t>
      </w:r>
      <w:r>
        <w:t xml:space="preserve">the expenses claimed have appropriate justification; and  </w:t>
      </w:r>
    </w:p>
    <w:p w14:paraId="0C4EAB76" w14:textId="77777777" w:rsidR="00C97292" w:rsidRDefault="00000000">
      <w:pPr>
        <w:ind w:left="2218" w:right="159" w:hanging="420"/>
      </w:pPr>
      <w:r>
        <w:t>v.</w:t>
      </w:r>
      <w:r>
        <w:rPr>
          <w:rFonts w:ascii="Arial" w:eastAsia="Arial" w:hAnsi="Arial" w:cs="Arial"/>
        </w:rPr>
        <w:t xml:space="preserve"> </w:t>
      </w:r>
      <w:r>
        <w:t xml:space="preserve">all requirements, as determined by the municipal audit committee, have been fulfilled.  </w:t>
      </w:r>
    </w:p>
    <w:p w14:paraId="41148D8E" w14:textId="77777777" w:rsidR="00C97292" w:rsidRDefault="00000000">
      <w:pPr>
        <w:numPr>
          <w:ilvl w:val="0"/>
          <w:numId w:val="9"/>
        </w:numPr>
        <w:ind w:right="159" w:hanging="360"/>
      </w:pPr>
      <w:r>
        <w:t xml:space="preserve">In considering a hospitality expense claim for payment, a Signing Authority may request additional explanations, documentation or justification from the claimant, and may refuse to approve any claim or expense did not have prior authorization and that the Signing Authority decides is unreasonable or not in compliance with this policy.  </w:t>
      </w:r>
    </w:p>
    <w:p w14:paraId="4C87698F" w14:textId="77777777" w:rsidR="00C97292" w:rsidRDefault="00000000">
      <w:pPr>
        <w:numPr>
          <w:ilvl w:val="0"/>
          <w:numId w:val="9"/>
        </w:numPr>
        <w:spacing w:after="9"/>
        <w:ind w:right="159" w:hanging="360"/>
      </w:pPr>
      <w:r>
        <w:lastRenderedPageBreak/>
        <w:t xml:space="preserve">The use of petty cash to pay a hospitality expense claim is prohibited.  </w:t>
      </w:r>
    </w:p>
    <w:p w14:paraId="01E97F26" w14:textId="77777777" w:rsidR="00C97292" w:rsidRDefault="00000000">
      <w:pPr>
        <w:spacing w:after="0" w:line="259" w:lineRule="auto"/>
        <w:ind w:left="0" w:right="0" w:firstLine="0"/>
        <w:jc w:val="left"/>
      </w:pPr>
      <w:r>
        <w:rPr>
          <w:b/>
        </w:rPr>
        <w:t xml:space="preserve"> </w:t>
      </w:r>
      <w:r>
        <w:t xml:space="preserve"> </w:t>
      </w:r>
    </w:p>
    <w:p w14:paraId="75BF935E" w14:textId="77777777" w:rsidR="00C97292" w:rsidRDefault="00000000">
      <w:pPr>
        <w:pStyle w:val="Heading1"/>
        <w:spacing w:after="217"/>
        <w:ind w:left="690" w:hanging="578"/>
      </w:pPr>
      <w:r>
        <w:t>Reporting Requirements</w:t>
      </w:r>
      <w:r>
        <w:rPr>
          <w:u w:val="none"/>
        </w:rPr>
        <w:t xml:space="preserve">  </w:t>
      </w:r>
    </w:p>
    <w:p w14:paraId="518570B1" w14:textId="77777777" w:rsidR="00C97292" w:rsidRDefault="00000000">
      <w:pPr>
        <w:ind w:left="1421" w:right="159"/>
      </w:pPr>
      <w:r>
        <w:t>a.</w:t>
      </w:r>
      <w:r>
        <w:rPr>
          <w:rFonts w:ascii="Arial" w:eastAsia="Arial" w:hAnsi="Arial" w:cs="Arial"/>
        </w:rPr>
        <w:t xml:space="preserve"> </w:t>
      </w:r>
      <w:r>
        <w:t xml:space="preserve">Pursuant to s. 65A of the </w:t>
      </w:r>
      <w:r>
        <w:rPr>
          <w:i/>
        </w:rPr>
        <w:t>Municipal Government Act</w:t>
      </w:r>
      <w:r>
        <w:t xml:space="preserve">, the CAO shall ensure that the Municipality does the following:  </w:t>
      </w:r>
    </w:p>
    <w:p w14:paraId="0741044E" w14:textId="77777777" w:rsidR="00C97292" w:rsidRDefault="00000000">
      <w:pPr>
        <w:numPr>
          <w:ilvl w:val="0"/>
          <w:numId w:val="10"/>
        </w:numPr>
        <w:ind w:left="2188" w:right="1029" w:hanging="362"/>
      </w:pPr>
      <w:r>
        <w:t xml:space="preserve">Within ninety (90) days of the end of each fiscal quarter, </w:t>
      </w:r>
      <w:proofErr w:type="gramStart"/>
      <w:r>
        <w:t>prepares</w:t>
      </w:r>
      <w:proofErr w:type="gramEnd"/>
      <w:r>
        <w:t xml:space="preserve"> and posts a hospitality expense report on the Municipality’s website that describes all the hospitality expenses incurred by the Municipality, including purchases of alcohol, during the </w:t>
      </w:r>
      <w:proofErr w:type="gramStart"/>
      <w:r>
        <w:t>quarter;</w:t>
      </w:r>
      <w:proofErr w:type="gramEnd"/>
      <w:r>
        <w:t xml:space="preserve">  </w:t>
      </w:r>
    </w:p>
    <w:p w14:paraId="644EDB2E" w14:textId="77777777" w:rsidR="00C97292" w:rsidRDefault="00000000">
      <w:pPr>
        <w:numPr>
          <w:ilvl w:val="0"/>
          <w:numId w:val="10"/>
        </w:numPr>
        <w:ind w:left="2188" w:right="1029" w:hanging="362"/>
      </w:pPr>
      <w:r>
        <w:t>By September 30</w:t>
      </w:r>
      <w:r>
        <w:rPr>
          <w:sz w:val="21"/>
          <w:vertAlign w:val="superscript"/>
        </w:rPr>
        <w:t>th</w:t>
      </w:r>
      <w:r>
        <w:t xml:space="preserve"> of each year, prepares and files with the Minister of Municipal Affairs an annual summary report that summarizes the hospitality expense reports for the preceding fiscal year that </w:t>
      </w:r>
      <w:proofErr w:type="gramStart"/>
      <w:r>
        <w:t>is</w:t>
      </w:r>
      <w:proofErr w:type="gramEnd"/>
      <w:r>
        <w:t xml:space="preserve"> compliant with the requirements of the Department of Municipal Affairs and the requirements set out in the Financial Reporting and Accounting Manual.  </w:t>
      </w:r>
    </w:p>
    <w:p w14:paraId="403B726A" w14:textId="77777777" w:rsidR="00C97292" w:rsidRDefault="00000000">
      <w:pPr>
        <w:pStyle w:val="Heading1"/>
        <w:ind w:left="720" w:hanging="720"/>
      </w:pPr>
      <w:r>
        <w:t>Review Requirements</w:t>
      </w:r>
      <w:r>
        <w:rPr>
          <w:u w:val="none"/>
        </w:rPr>
        <w:t xml:space="preserve">  </w:t>
      </w:r>
    </w:p>
    <w:p w14:paraId="43A12C44" w14:textId="77777777" w:rsidR="00C97292" w:rsidRDefault="00000000">
      <w:pPr>
        <w:numPr>
          <w:ilvl w:val="0"/>
          <w:numId w:val="11"/>
        </w:numPr>
        <w:ind w:right="159" w:hanging="360"/>
      </w:pPr>
      <w:r>
        <w:t>The Municipality Audit Committee shall review the hospitality annual summary report by October 31</w:t>
      </w:r>
      <w:r>
        <w:rPr>
          <w:sz w:val="21"/>
          <w:vertAlign w:val="superscript"/>
        </w:rPr>
        <w:t>st</w:t>
      </w:r>
      <w:r>
        <w:t xml:space="preserve"> of each year.</w:t>
      </w:r>
      <w:r>
        <w:rPr>
          <w:sz w:val="22"/>
        </w:rPr>
        <w:t xml:space="preserve"> </w:t>
      </w:r>
      <w:r>
        <w:t xml:space="preserve"> </w:t>
      </w:r>
    </w:p>
    <w:p w14:paraId="192C0BCA" w14:textId="77777777" w:rsidR="00C97292" w:rsidRDefault="00000000">
      <w:pPr>
        <w:numPr>
          <w:ilvl w:val="0"/>
          <w:numId w:val="11"/>
        </w:numPr>
        <w:ind w:right="159" w:hanging="360"/>
      </w:pPr>
      <w:r>
        <w:t xml:space="preserve">By </w:t>
      </w:r>
      <w:proofErr w:type="gramStart"/>
      <w:r>
        <w:t>the January</w:t>
      </w:r>
      <w:proofErr w:type="gramEnd"/>
      <w:r>
        <w:t xml:space="preserve"> 31</w:t>
      </w:r>
      <w:r>
        <w:rPr>
          <w:sz w:val="21"/>
          <w:vertAlign w:val="superscript"/>
        </w:rPr>
        <w:t>st</w:t>
      </w:r>
      <w:r>
        <w:t xml:space="preserve"> immediately following a regular election held under the </w:t>
      </w:r>
      <w:r>
        <w:rPr>
          <w:i/>
        </w:rPr>
        <w:t>Municipal Elections Act</w:t>
      </w:r>
      <w:r>
        <w:t xml:space="preserve">, Council shall review this policy </w:t>
      </w:r>
      <w:proofErr w:type="gramStart"/>
      <w:r>
        <w:t>and,</w:t>
      </w:r>
      <w:proofErr w:type="gramEnd"/>
      <w:r>
        <w:t xml:space="preserve"> following a motion by Council, either re-adopt the policy or amend the policy and adopt the policy as amended.</w:t>
      </w:r>
      <w:r>
        <w:rPr>
          <w:sz w:val="22"/>
        </w:rPr>
        <w:t xml:space="preserve"> </w:t>
      </w:r>
      <w:r>
        <w:t xml:space="preserve"> </w:t>
      </w:r>
    </w:p>
    <w:sectPr w:rsidR="00C97292">
      <w:footerReference w:type="even" r:id="rId8"/>
      <w:footerReference w:type="default" r:id="rId9"/>
      <w:footerReference w:type="first" r:id="rId10"/>
      <w:pgSz w:w="12240" w:h="15840"/>
      <w:pgMar w:top="1472" w:right="1261" w:bottom="90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8DCCF" w14:textId="77777777" w:rsidR="008C4193" w:rsidRDefault="008C4193">
      <w:pPr>
        <w:spacing w:after="0" w:line="240" w:lineRule="auto"/>
      </w:pPr>
      <w:r>
        <w:separator/>
      </w:r>
    </w:p>
  </w:endnote>
  <w:endnote w:type="continuationSeparator" w:id="0">
    <w:p w14:paraId="5EC977E0" w14:textId="77777777" w:rsidR="008C4193" w:rsidRDefault="008C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1CD6" w14:textId="77777777" w:rsidR="00C97292" w:rsidRDefault="00000000">
    <w:pPr>
      <w:spacing w:after="2" w:line="259" w:lineRule="auto"/>
      <w:ind w:left="0" w:right="17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r>
      <w:t xml:space="preserve"> </w:t>
    </w:r>
  </w:p>
  <w:p w14:paraId="3D841230" w14:textId="77777777" w:rsidR="00C97292" w:rsidRDefault="00000000">
    <w:pPr>
      <w:spacing w:after="0" w:line="259" w:lineRule="auto"/>
      <w:ind w:left="0"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149BC" w14:textId="77777777" w:rsidR="00C97292" w:rsidRDefault="00000000">
    <w:pPr>
      <w:spacing w:after="2" w:line="259" w:lineRule="auto"/>
      <w:ind w:left="0" w:right="17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r>
      <w:t xml:space="preserve"> </w:t>
    </w:r>
  </w:p>
  <w:p w14:paraId="3A868AE9" w14:textId="77777777" w:rsidR="00C97292" w:rsidRDefault="00000000">
    <w:pPr>
      <w:spacing w:after="0" w:line="259" w:lineRule="auto"/>
      <w:ind w:left="0" w:right="0" w:firstLine="0"/>
      <w:jc w:val="left"/>
    </w:pPr>
    <w:r>
      <w:rPr>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64AE" w14:textId="77777777" w:rsidR="00C97292" w:rsidRDefault="00C9729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B670A" w14:textId="77777777" w:rsidR="008C4193" w:rsidRDefault="008C4193">
      <w:pPr>
        <w:spacing w:after="0" w:line="240" w:lineRule="auto"/>
      </w:pPr>
      <w:r>
        <w:separator/>
      </w:r>
    </w:p>
  </w:footnote>
  <w:footnote w:type="continuationSeparator" w:id="0">
    <w:p w14:paraId="01381F90" w14:textId="77777777" w:rsidR="008C4193" w:rsidRDefault="008C4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17E"/>
    <w:multiLevelType w:val="hybridMultilevel"/>
    <w:tmpl w:val="2CEE184A"/>
    <w:lvl w:ilvl="0" w:tplc="4D368558">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592AD08">
      <w:start w:val="1"/>
      <w:numFmt w:val="lowerLetter"/>
      <w:lvlText w:val="%2"/>
      <w:lvlJc w:val="left"/>
      <w:pPr>
        <w:ind w:left="11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DD23532">
      <w:start w:val="1"/>
      <w:numFmt w:val="lowerRoman"/>
      <w:lvlText w:val="%3"/>
      <w:lvlJc w:val="left"/>
      <w:pPr>
        <w:ind w:left="18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32F2D6DE">
      <w:start w:val="1"/>
      <w:numFmt w:val="decimal"/>
      <w:lvlText w:val="%4"/>
      <w:lvlJc w:val="left"/>
      <w:pPr>
        <w:ind w:left="25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ABC6AFC">
      <w:start w:val="1"/>
      <w:numFmt w:val="lowerLetter"/>
      <w:lvlText w:val="%5"/>
      <w:lvlJc w:val="left"/>
      <w:pPr>
        <w:ind w:left="32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BD043A8">
      <w:start w:val="1"/>
      <w:numFmt w:val="lowerRoman"/>
      <w:lvlText w:val="%6"/>
      <w:lvlJc w:val="left"/>
      <w:pPr>
        <w:ind w:left="40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E1A42E2">
      <w:start w:val="1"/>
      <w:numFmt w:val="decimal"/>
      <w:lvlText w:val="%7"/>
      <w:lvlJc w:val="left"/>
      <w:pPr>
        <w:ind w:left="47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2A8C19E">
      <w:start w:val="1"/>
      <w:numFmt w:val="lowerLetter"/>
      <w:lvlText w:val="%8"/>
      <w:lvlJc w:val="left"/>
      <w:pPr>
        <w:ind w:left="54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48762A50">
      <w:start w:val="1"/>
      <w:numFmt w:val="lowerRoman"/>
      <w:lvlText w:val="%9"/>
      <w:lvlJc w:val="left"/>
      <w:pPr>
        <w:ind w:left="61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7B57AD"/>
    <w:multiLevelType w:val="hybridMultilevel"/>
    <w:tmpl w:val="8BBC2A58"/>
    <w:lvl w:ilvl="0" w:tplc="C3D2F818">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82B438">
      <w:start w:val="1"/>
      <w:numFmt w:val="lowerLetter"/>
      <w:lvlText w:val="%2"/>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645032">
      <w:start w:val="1"/>
      <w:numFmt w:val="lowerRoman"/>
      <w:lvlText w:val="%3"/>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070E4A8">
      <w:start w:val="1"/>
      <w:numFmt w:val="decimal"/>
      <w:lvlText w:val="%4"/>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644FD4">
      <w:start w:val="1"/>
      <w:numFmt w:val="lowerLetter"/>
      <w:lvlText w:val="%5"/>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282760C">
      <w:start w:val="1"/>
      <w:numFmt w:val="lowerRoman"/>
      <w:lvlText w:val="%6"/>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1A4304">
      <w:start w:val="1"/>
      <w:numFmt w:val="decimal"/>
      <w:lvlText w:val="%7"/>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86D328">
      <w:start w:val="1"/>
      <w:numFmt w:val="lowerLetter"/>
      <w:lvlText w:val="%8"/>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246D262">
      <w:start w:val="1"/>
      <w:numFmt w:val="lowerRoman"/>
      <w:lvlText w:val="%9"/>
      <w:lvlJc w:val="left"/>
      <w:pPr>
        <w:ind w:left="7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170A30"/>
    <w:multiLevelType w:val="hybridMultilevel"/>
    <w:tmpl w:val="225ECEAC"/>
    <w:lvl w:ilvl="0" w:tplc="2BD034E6">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246E6E">
      <w:start w:val="1"/>
      <w:numFmt w:val="lowerLetter"/>
      <w:lvlText w:val="%2"/>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968630">
      <w:start w:val="1"/>
      <w:numFmt w:val="lowerRoman"/>
      <w:lvlText w:val="%3"/>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F63AD0">
      <w:start w:val="1"/>
      <w:numFmt w:val="decimal"/>
      <w:lvlText w:val="%4"/>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F46B44">
      <w:start w:val="1"/>
      <w:numFmt w:val="lowerLetter"/>
      <w:lvlText w:val="%5"/>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110AE7E">
      <w:start w:val="1"/>
      <w:numFmt w:val="lowerRoman"/>
      <w:lvlText w:val="%6"/>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623036">
      <w:start w:val="1"/>
      <w:numFmt w:val="decimal"/>
      <w:lvlText w:val="%7"/>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E20476">
      <w:start w:val="1"/>
      <w:numFmt w:val="lowerLetter"/>
      <w:lvlText w:val="%8"/>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EC812C">
      <w:start w:val="1"/>
      <w:numFmt w:val="lowerRoman"/>
      <w:lvlText w:val="%9"/>
      <w:lvlJc w:val="left"/>
      <w:pPr>
        <w:ind w:left="70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2F467B"/>
    <w:multiLevelType w:val="hybridMultilevel"/>
    <w:tmpl w:val="4468AE94"/>
    <w:lvl w:ilvl="0" w:tplc="E9BED400">
      <w:start w:val="4"/>
      <w:numFmt w:val="lowerRoman"/>
      <w:lvlText w:val="%1."/>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464B6A">
      <w:start w:val="1"/>
      <w:numFmt w:val="lowerLetter"/>
      <w:lvlText w:val="%2"/>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7C9C70">
      <w:start w:val="1"/>
      <w:numFmt w:val="lowerRoman"/>
      <w:lvlText w:val="%3"/>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DE6BF2">
      <w:start w:val="1"/>
      <w:numFmt w:val="decimal"/>
      <w:lvlText w:val="%4"/>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DA6E0A">
      <w:start w:val="1"/>
      <w:numFmt w:val="lowerLetter"/>
      <w:lvlText w:val="%5"/>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CCE4E0C">
      <w:start w:val="1"/>
      <w:numFmt w:val="lowerRoman"/>
      <w:lvlText w:val="%6"/>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72D072">
      <w:start w:val="1"/>
      <w:numFmt w:val="decimal"/>
      <w:lvlText w:val="%7"/>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074CE">
      <w:start w:val="1"/>
      <w:numFmt w:val="lowerLetter"/>
      <w:lvlText w:val="%8"/>
      <w:lvlJc w:val="left"/>
      <w:pPr>
        <w:ind w:left="7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F01E28">
      <w:start w:val="1"/>
      <w:numFmt w:val="lowerRoman"/>
      <w:lvlText w:val="%9"/>
      <w:lvlJc w:val="left"/>
      <w:pPr>
        <w:ind w:left="7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728D6"/>
    <w:multiLevelType w:val="hybridMultilevel"/>
    <w:tmpl w:val="AA44614A"/>
    <w:lvl w:ilvl="0" w:tplc="ACA60FFA">
      <w:start w:val="1"/>
      <w:numFmt w:val="lowerLetter"/>
      <w:lvlText w:val="%1."/>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A405A6">
      <w:start w:val="1"/>
      <w:numFmt w:val="lowerLetter"/>
      <w:lvlText w:val="%2"/>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ACA190">
      <w:start w:val="1"/>
      <w:numFmt w:val="lowerRoman"/>
      <w:lvlText w:val="%3"/>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10D928">
      <w:start w:val="1"/>
      <w:numFmt w:val="decimal"/>
      <w:lvlText w:val="%4"/>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94B182">
      <w:start w:val="1"/>
      <w:numFmt w:val="lowerLetter"/>
      <w:lvlText w:val="%5"/>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40D16A">
      <w:start w:val="1"/>
      <w:numFmt w:val="lowerRoman"/>
      <w:lvlText w:val="%6"/>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7C52BC">
      <w:start w:val="1"/>
      <w:numFmt w:val="decimal"/>
      <w:lvlText w:val="%7"/>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201286">
      <w:start w:val="1"/>
      <w:numFmt w:val="lowerLetter"/>
      <w:lvlText w:val="%8"/>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A5232">
      <w:start w:val="1"/>
      <w:numFmt w:val="lowerRoman"/>
      <w:lvlText w:val="%9"/>
      <w:lvlJc w:val="left"/>
      <w:pPr>
        <w:ind w:left="7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CE57CB"/>
    <w:multiLevelType w:val="hybridMultilevel"/>
    <w:tmpl w:val="79706104"/>
    <w:lvl w:ilvl="0" w:tplc="43DEF66A">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961F26">
      <w:start w:val="1"/>
      <w:numFmt w:val="lowerLetter"/>
      <w:lvlText w:val="%2"/>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6C1FC4">
      <w:start w:val="1"/>
      <w:numFmt w:val="lowerRoman"/>
      <w:lvlText w:val="%3"/>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A073E4">
      <w:start w:val="1"/>
      <w:numFmt w:val="decimal"/>
      <w:lvlText w:val="%4"/>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40030E">
      <w:start w:val="1"/>
      <w:numFmt w:val="lowerLetter"/>
      <w:lvlText w:val="%5"/>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0EB212">
      <w:start w:val="1"/>
      <w:numFmt w:val="lowerRoman"/>
      <w:lvlText w:val="%6"/>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EA6232">
      <w:start w:val="1"/>
      <w:numFmt w:val="decimal"/>
      <w:lvlText w:val="%7"/>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44848A4">
      <w:start w:val="1"/>
      <w:numFmt w:val="lowerLetter"/>
      <w:lvlText w:val="%8"/>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6222E4">
      <w:start w:val="1"/>
      <w:numFmt w:val="lowerRoman"/>
      <w:lvlText w:val="%9"/>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E649E7"/>
    <w:multiLevelType w:val="hybridMultilevel"/>
    <w:tmpl w:val="C86C9480"/>
    <w:lvl w:ilvl="0" w:tplc="8E7C9AC2">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86A4E4">
      <w:start w:val="1"/>
      <w:numFmt w:val="lowerLetter"/>
      <w:lvlText w:val="%2"/>
      <w:lvlJc w:val="left"/>
      <w:pPr>
        <w:ind w:left="2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CB5F6">
      <w:start w:val="1"/>
      <w:numFmt w:val="lowerRoman"/>
      <w:lvlText w:val="%3"/>
      <w:lvlJc w:val="left"/>
      <w:pPr>
        <w:ind w:left="2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3CCF56">
      <w:start w:val="1"/>
      <w:numFmt w:val="decimal"/>
      <w:lvlText w:val="%4"/>
      <w:lvlJc w:val="left"/>
      <w:pPr>
        <w:ind w:left="3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AC8AAE">
      <w:start w:val="1"/>
      <w:numFmt w:val="lowerLetter"/>
      <w:lvlText w:val="%5"/>
      <w:lvlJc w:val="left"/>
      <w:pPr>
        <w:ind w:left="4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2A19A4">
      <w:start w:val="1"/>
      <w:numFmt w:val="lowerRoman"/>
      <w:lvlText w:val="%6"/>
      <w:lvlJc w:val="left"/>
      <w:pPr>
        <w:ind w:left="50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5E51BE">
      <w:start w:val="1"/>
      <w:numFmt w:val="decimal"/>
      <w:lvlText w:val="%7"/>
      <w:lvlJc w:val="left"/>
      <w:pPr>
        <w:ind w:left="57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BE21FC">
      <w:start w:val="1"/>
      <w:numFmt w:val="lowerLetter"/>
      <w:lvlText w:val="%8"/>
      <w:lvlJc w:val="left"/>
      <w:pPr>
        <w:ind w:left="64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F42CDA">
      <w:start w:val="1"/>
      <w:numFmt w:val="lowerRoman"/>
      <w:lvlText w:val="%9"/>
      <w:lvlJc w:val="left"/>
      <w:pPr>
        <w:ind w:left="7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E75053"/>
    <w:multiLevelType w:val="hybridMultilevel"/>
    <w:tmpl w:val="9004785C"/>
    <w:lvl w:ilvl="0" w:tplc="CD220BF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92D218">
      <w:start w:val="1"/>
      <w:numFmt w:val="lowerRoman"/>
      <w:lvlRestart w:val="0"/>
      <w:lvlText w:val="%2."/>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8E22AC">
      <w:start w:val="1"/>
      <w:numFmt w:val="lowerRoman"/>
      <w:lvlText w:val="%3"/>
      <w:lvlJc w:val="left"/>
      <w:pPr>
        <w:ind w:left="2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541AC0">
      <w:start w:val="1"/>
      <w:numFmt w:val="decimal"/>
      <w:lvlText w:val="%4"/>
      <w:lvlJc w:val="left"/>
      <w:pPr>
        <w:ind w:left="36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D84637A">
      <w:start w:val="1"/>
      <w:numFmt w:val="lowerLetter"/>
      <w:lvlText w:val="%5"/>
      <w:lvlJc w:val="left"/>
      <w:pPr>
        <w:ind w:left="43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429746">
      <w:start w:val="1"/>
      <w:numFmt w:val="lowerRoman"/>
      <w:lvlText w:val="%6"/>
      <w:lvlJc w:val="left"/>
      <w:pPr>
        <w:ind w:left="5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50F72C">
      <w:start w:val="1"/>
      <w:numFmt w:val="decimal"/>
      <w:lvlText w:val="%7"/>
      <w:lvlJc w:val="left"/>
      <w:pPr>
        <w:ind w:left="5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681D0">
      <w:start w:val="1"/>
      <w:numFmt w:val="lowerLetter"/>
      <w:lvlText w:val="%8"/>
      <w:lvlJc w:val="left"/>
      <w:pPr>
        <w:ind w:left="6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E24D6E">
      <w:start w:val="1"/>
      <w:numFmt w:val="lowerRoman"/>
      <w:lvlText w:val="%9"/>
      <w:lvlJc w:val="left"/>
      <w:pPr>
        <w:ind w:left="7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6B4CAF"/>
    <w:multiLevelType w:val="hybridMultilevel"/>
    <w:tmpl w:val="48CE61E6"/>
    <w:lvl w:ilvl="0" w:tplc="17CC694A">
      <w:start w:val="1"/>
      <w:numFmt w:val="lowerRoman"/>
      <w:lvlText w:val="%1."/>
      <w:lvlJc w:val="left"/>
      <w:pPr>
        <w:ind w:left="2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FC8312">
      <w:start w:val="1"/>
      <w:numFmt w:val="lowerLetter"/>
      <w:lvlText w:val="%2"/>
      <w:lvlJc w:val="left"/>
      <w:pPr>
        <w:ind w:left="29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8068B8">
      <w:start w:val="1"/>
      <w:numFmt w:val="lowerRoman"/>
      <w:lvlText w:val="%3"/>
      <w:lvlJc w:val="left"/>
      <w:pPr>
        <w:ind w:left="36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128D7A">
      <w:start w:val="1"/>
      <w:numFmt w:val="decimal"/>
      <w:lvlText w:val="%4"/>
      <w:lvlJc w:val="left"/>
      <w:pPr>
        <w:ind w:left="43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F652F4">
      <w:start w:val="1"/>
      <w:numFmt w:val="lowerLetter"/>
      <w:lvlText w:val="%5"/>
      <w:lvlJc w:val="left"/>
      <w:pPr>
        <w:ind w:left="50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CE4844">
      <w:start w:val="1"/>
      <w:numFmt w:val="lowerRoman"/>
      <w:lvlText w:val="%6"/>
      <w:lvlJc w:val="left"/>
      <w:pPr>
        <w:ind w:left="5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F6F4A6">
      <w:start w:val="1"/>
      <w:numFmt w:val="decimal"/>
      <w:lvlText w:val="%7"/>
      <w:lvlJc w:val="left"/>
      <w:pPr>
        <w:ind w:left="6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DCB280">
      <w:start w:val="1"/>
      <w:numFmt w:val="lowerLetter"/>
      <w:lvlText w:val="%8"/>
      <w:lvlJc w:val="left"/>
      <w:pPr>
        <w:ind w:left="7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7CE8B0">
      <w:start w:val="1"/>
      <w:numFmt w:val="lowerRoman"/>
      <w:lvlText w:val="%9"/>
      <w:lvlJc w:val="left"/>
      <w:pPr>
        <w:ind w:left="7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F1A03F7"/>
    <w:multiLevelType w:val="hybridMultilevel"/>
    <w:tmpl w:val="8222F81A"/>
    <w:lvl w:ilvl="0" w:tplc="B604423C">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7B45804">
      <w:start w:val="1"/>
      <w:numFmt w:val="lowerRoman"/>
      <w:lvlText w:val="%2."/>
      <w:lvlJc w:val="left"/>
      <w:pPr>
        <w:ind w:left="1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E24B96">
      <w:start w:val="1"/>
      <w:numFmt w:val="lowerRoman"/>
      <w:lvlText w:val="%3"/>
      <w:lvlJc w:val="left"/>
      <w:pPr>
        <w:ind w:left="2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84D5DA">
      <w:start w:val="1"/>
      <w:numFmt w:val="decimal"/>
      <w:lvlText w:val="%4"/>
      <w:lvlJc w:val="left"/>
      <w:pPr>
        <w:ind w:left="3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405A08">
      <w:start w:val="1"/>
      <w:numFmt w:val="lowerLetter"/>
      <w:lvlText w:val="%5"/>
      <w:lvlJc w:val="left"/>
      <w:pPr>
        <w:ind w:left="4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A8C0DE">
      <w:start w:val="1"/>
      <w:numFmt w:val="lowerRoman"/>
      <w:lvlText w:val="%6"/>
      <w:lvlJc w:val="left"/>
      <w:pPr>
        <w:ind w:left="48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A060B8">
      <w:start w:val="1"/>
      <w:numFmt w:val="decimal"/>
      <w:lvlText w:val="%7"/>
      <w:lvlJc w:val="left"/>
      <w:pPr>
        <w:ind w:left="56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1CA63C">
      <w:start w:val="1"/>
      <w:numFmt w:val="lowerLetter"/>
      <w:lvlText w:val="%8"/>
      <w:lvlJc w:val="left"/>
      <w:pPr>
        <w:ind w:left="63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A6BCE4">
      <w:start w:val="1"/>
      <w:numFmt w:val="lowerRoman"/>
      <w:lvlText w:val="%9"/>
      <w:lvlJc w:val="left"/>
      <w:pPr>
        <w:ind w:left="70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03C79C6"/>
    <w:multiLevelType w:val="hybridMultilevel"/>
    <w:tmpl w:val="E59888E8"/>
    <w:lvl w:ilvl="0" w:tplc="96C8FAE6">
      <w:start w:val="1"/>
      <w:numFmt w:val="lowerLetter"/>
      <w:lvlText w:val="%1."/>
      <w:lvlJc w:val="left"/>
      <w:pPr>
        <w:ind w:left="1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BC8604">
      <w:start w:val="1"/>
      <w:numFmt w:val="lowerRoman"/>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95E86DE">
      <w:start w:val="1"/>
      <w:numFmt w:val="lowerRoman"/>
      <w:lvlText w:val="%3"/>
      <w:lvlJc w:val="left"/>
      <w:pPr>
        <w:ind w:left="2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444530">
      <w:start w:val="1"/>
      <w:numFmt w:val="decimal"/>
      <w:lvlText w:val="%4"/>
      <w:lvlJc w:val="left"/>
      <w:pPr>
        <w:ind w:left="3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DC6DA4">
      <w:start w:val="1"/>
      <w:numFmt w:val="lowerLetter"/>
      <w:lvlText w:val="%5"/>
      <w:lvlJc w:val="left"/>
      <w:pPr>
        <w:ind w:left="41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AE1920">
      <w:start w:val="1"/>
      <w:numFmt w:val="lowerRoman"/>
      <w:lvlText w:val="%6"/>
      <w:lvlJc w:val="left"/>
      <w:pPr>
        <w:ind w:left="49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62F8CA">
      <w:start w:val="1"/>
      <w:numFmt w:val="decimal"/>
      <w:lvlText w:val="%7"/>
      <w:lvlJc w:val="left"/>
      <w:pPr>
        <w:ind w:left="5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2E2150">
      <w:start w:val="1"/>
      <w:numFmt w:val="lowerLetter"/>
      <w:lvlText w:val="%8"/>
      <w:lvlJc w:val="left"/>
      <w:pPr>
        <w:ind w:left="63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076B4">
      <w:start w:val="1"/>
      <w:numFmt w:val="lowerRoman"/>
      <w:lvlText w:val="%9"/>
      <w:lvlJc w:val="left"/>
      <w:pPr>
        <w:ind w:left="7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6B1187"/>
    <w:multiLevelType w:val="hybridMultilevel"/>
    <w:tmpl w:val="3D206B60"/>
    <w:lvl w:ilvl="0" w:tplc="AE660D8E">
      <w:start w:val="1"/>
      <w:numFmt w:val="lowerLetter"/>
      <w:lvlText w:val="%1."/>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32211C">
      <w:start w:val="1"/>
      <w:numFmt w:val="lowerLetter"/>
      <w:lvlText w:val="%2"/>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7A05D2">
      <w:start w:val="1"/>
      <w:numFmt w:val="lowerRoman"/>
      <w:lvlText w:val="%3"/>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A4AFA8">
      <w:start w:val="1"/>
      <w:numFmt w:val="decimal"/>
      <w:lvlText w:val="%4"/>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EAFA46">
      <w:start w:val="1"/>
      <w:numFmt w:val="lowerLetter"/>
      <w:lvlText w:val="%5"/>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82470E">
      <w:start w:val="1"/>
      <w:numFmt w:val="lowerRoman"/>
      <w:lvlText w:val="%6"/>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AA89B8">
      <w:start w:val="1"/>
      <w:numFmt w:val="decimal"/>
      <w:lvlText w:val="%7"/>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08F302">
      <w:start w:val="1"/>
      <w:numFmt w:val="lowerLetter"/>
      <w:lvlText w:val="%8"/>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4A0C0">
      <w:start w:val="1"/>
      <w:numFmt w:val="lowerRoman"/>
      <w:lvlText w:val="%9"/>
      <w:lvlJc w:val="left"/>
      <w:pPr>
        <w:ind w:left="7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39075182">
    <w:abstractNumId w:val="6"/>
  </w:num>
  <w:num w:numId="2" w16cid:durableId="86586988">
    <w:abstractNumId w:val="5"/>
  </w:num>
  <w:num w:numId="3" w16cid:durableId="1862667447">
    <w:abstractNumId w:val="3"/>
  </w:num>
  <w:num w:numId="4" w16cid:durableId="1714958693">
    <w:abstractNumId w:val="7"/>
  </w:num>
  <w:num w:numId="5" w16cid:durableId="779757409">
    <w:abstractNumId w:val="2"/>
  </w:num>
  <w:num w:numId="6" w16cid:durableId="1246450213">
    <w:abstractNumId w:val="9"/>
  </w:num>
  <w:num w:numId="7" w16cid:durableId="288898516">
    <w:abstractNumId w:val="1"/>
  </w:num>
  <w:num w:numId="8" w16cid:durableId="208959971">
    <w:abstractNumId w:val="4"/>
  </w:num>
  <w:num w:numId="9" w16cid:durableId="1418748977">
    <w:abstractNumId w:val="10"/>
  </w:num>
  <w:num w:numId="10" w16cid:durableId="1926374403">
    <w:abstractNumId w:val="8"/>
  </w:num>
  <w:num w:numId="11" w16cid:durableId="1676420830">
    <w:abstractNumId w:val="11"/>
  </w:num>
  <w:num w:numId="12" w16cid:durableId="37732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92"/>
    <w:rsid w:val="007149C6"/>
    <w:rsid w:val="008C4193"/>
    <w:rsid w:val="009216A4"/>
    <w:rsid w:val="00C97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CE33"/>
  <w15:docId w15:val="{179271CF-7520-46EB-93A4-09FD142E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5" w:line="250" w:lineRule="auto"/>
      <w:ind w:left="1436" w:right="167" w:hanging="37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12"/>
      </w:numPr>
      <w:spacing w:after="252" w:line="259" w:lineRule="auto"/>
      <w:ind w:left="137"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1310</Words>
  <Characters>6909</Characters>
  <Application>Microsoft Office Word</Application>
  <DocSecurity>0</DocSecurity>
  <Lines>141</Lines>
  <Paragraphs>74</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Sueann Musick</dc:creator>
  <cp:keywords/>
  <cp:lastModifiedBy>Adam MacInnis</cp:lastModifiedBy>
  <cp:revision>2</cp:revision>
  <cp:lastPrinted>2025-03-27T15:44:00Z</cp:lastPrinted>
  <dcterms:created xsi:type="dcterms:W3CDTF">2025-03-27T15:44:00Z</dcterms:created>
  <dcterms:modified xsi:type="dcterms:W3CDTF">2025-03-27T15:44:00Z</dcterms:modified>
</cp:coreProperties>
</file>